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D5" w:rsidRDefault="007D35D5" w:rsidP="007D3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bookmarkStart w:id="0" w:name="_GoBack"/>
      <w:bookmarkEnd w:id="0"/>
    </w:p>
    <w:p w:rsidR="007D35D5" w:rsidRDefault="007D35D5" w:rsidP="007D3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12.02.2019 № 173 «Об утверждении муниципальной программы  «Охрана окружающей среды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 </w:t>
      </w:r>
    </w:p>
    <w:p w:rsidR="007D35D5" w:rsidRDefault="007D35D5" w:rsidP="007D35D5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15 февраля 2021года</w:t>
      </w:r>
    </w:p>
    <w:p w:rsidR="007D35D5" w:rsidRDefault="007D35D5" w:rsidP="007D35D5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5D5" w:rsidRDefault="007D35D5" w:rsidP="007D35D5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План  работы, утвержденный приказом контрольно-счетной палаты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25.12.2020 № 5-А; распоряжение от 15.02.2021 № 2-Р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D35D5" w:rsidRDefault="007D35D5" w:rsidP="007D35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12.02.2019 года № 173 «Об утверждении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7D35D5" w:rsidRDefault="007D35D5" w:rsidP="007D35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7D35D5" w:rsidRDefault="007D35D5" w:rsidP="007D35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09.02.2021.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15.02.2021-15.02.2021.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 изменений в муниципальную программу «Об утверждении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«О внесении изменений в постановление  администрации муниципального района от 12.02.2019 года № 173 «Об утверждении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 приложений к нему. </w:t>
      </w:r>
    </w:p>
    <w:p w:rsidR="007D35D5" w:rsidRDefault="007D35D5" w:rsidP="007D35D5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правовые акты: </w:t>
      </w:r>
    </w:p>
    <w:p w:rsidR="007D35D5" w:rsidRDefault="007D35D5" w:rsidP="007D35D5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программ», утвержденный приказом контрольно-счетной палаты от 16.01.2014 № 2-А</w:t>
      </w:r>
      <w:r>
        <w:t>.</w:t>
      </w:r>
    </w:p>
    <w:p w:rsidR="007D35D5" w:rsidRDefault="007D35D5" w:rsidP="007D35D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постановления «О внесении изменений в постановление администрации муниципального района от 12.02.2019 года № 173 «Об утверждении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установлено.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Постановление администрации муниципального района  от 12.02.2019 № 173 «Об утверждении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предлагается внести изменения в объемы финансирования.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на реализацию данной программы планируется направить средств в объеме </w:t>
      </w:r>
      <w:r>
        <w:rPr>
          <w:rFonts w:ascii="Times New Roman" w:hAnsi="Times New Roman" w:cs="Times New Roman"/>
          <w:i/>
          <w:sz w:val="24"/>
          <w:szCs w:val="24"/>
        </w:rPr>
        <w:t>35 180,0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средств муниципального района в объеме </w:t>
      </w:r>
      <w:r>
        <w:rPr>
          <w:rFonts w:ascii="Times New Roman" w:hAnsi="Times New Roman" w:cs="Times New Roman"/>
          <w:i/>
          <w:sz w:val="24"/>
          <w:szCs w:val="24"/>
        </w:rPr>
        <w:t>18 229,0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областного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16 951,0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Объем финансирования на реализацию муниципальной программы уменьшается на </w:t>
      </w:r>
      <w:r>
        <w:rPr>
          <w:rFonts w:ascii="Times New Roman" w:hAnsi="Times New Roman" w:cs="Times New Roman"/>
          <w:i/>
          <w:sz w:val="24"/>
          <w:szCs w:val="24"/>
        </w:rPr>
        <w:t>9 750,0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На 2021 год запланировано увеличение объема финансирования против утвержденного на </w:t>
      </w:r>
      <w:r>
        <w:rPr>
          <w:rFonts w:ascii="Times New Roman" w:hAnsi="Times New Roman" w:cs="Times New Roman"/>
          <w:i/>
          <w:sz w:val="24"/>
          <w:szCs w:val="24"/>
        </w:rPr>
        <w:t>18 590,0 тыс</w:t>
      </w:r>
      <w:r>
        <w:rPr>
          <w:rFonts w:ascii="Times New Roman" w:hAnsi="Times New Roman" w:cs="Times New Roman"/>
          <w:sz w:val="24"/>
          <w:szCs w:val="24"/>
        </w:rPr>
        <w:t xml:space="preserve">. рублей, в том числе за счет средств областного бюджета на </w:t>
      </w:r>
      <w:r>
        <w:rPr>
          <w:rFonts w:ascii="Times New Roman" w:hAnsi="Times New Roman" w:cs="Times New Roman"/>
          <w:i/>
          <w:sz w:val="24"/>
          <w:szCs w:val="24"/>
        </w:rPr>
        <w:t>16 803,0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 из областного бюджета запланированы на реализацию мероприятий: по экологической реабилитации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водохранилища в объеме </w:t>
      </w:r>
      <w:r>
        <w:rPr>
          <w:rFonts w:ascii="Times New Roman" w:hAnsi="Times New Roman" w:cs="Times New Roman"/>
          <w:i/>
          <w:sz w:val="24"/>
          <w:szCs w:val="24"/>
        </w:rPr>
        <w:t>7 000,0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рекультивацию земельных участков, на которых размещены объекты накопленного вреда окружающей среды (полигон) в объеме </w:t>
      </w:r>
      <w:r>
        <w:rPr>
          <w:rFonts w:ascii="Times New Roman" w:hAnsi="Times New Roman" w:cs="Times New Roman"/>
          <w:i/>
          <w:sz w:val="24"/>
          <w:szCs w:val="24"/>
        </w:rPr>
        <w:t>9 766,0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осуществление государственных полномочий по созданию административных комиссий в объеме </w:t>
      </w:r>
      <w:r>
        <w:rPr>
          <w:rFonts w:ascii="Times New Roman" w:hAnsi="Times New Roman" w:cs="Times New Roman"/>
          <w:i/>
          <w:sz w:val="24"/>
          <w:szCs w:val="24"/>
        </w:rPr>
        <w:t>37,0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внесения изменений в объемы финансирования из программы на основании акта проверки от </w:t>
      </w:r>
      <w:r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01.11.2019 </w:t>
      </w:r>
      <w:r>
        <w:rPr>
          <w:rFonts w:ascii="Times New Roman" w:hAnsi="Times New Roman" w:cs="Times New Roman"/>
          <w:sz w:val="24"/>
          <w:szCs w:val="24"/>
        </w:rPr>
        <w:t xml:space="preserve">исключены мероприятия  (приобретение мусоровоза – </w:t>
      </w:r>
      <w:r>
        <w:rPr>
          <w:rFonts w:ascii="Times New Roman" w:hAnsi="Times New Roman" w:cs="Times New Roman"/>
          <w:i/>
          <w:sz w:val="24"/>
          <w:szCs w:val="24"/>
        </w:rPr>
        <w:t>10 500,00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устройство ограждения полигона – </w:t>
      </w:r>
      <w:r>
        <w:rPr>
          <w:rFonts w:ascii="Times New Roman" w:hAnsi="Times New Roman" w:cs="Times New Roman"/>
          <w:i/>
          <w:sz w:val="24"/>
          <w:szCs w:val="24"/>
        </w:rPr>
        <w:t>1 300,00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оформление лицензии на сбор и вывоз ТБО - </w:t>
      </w:r>
      <w:r>
        <w:rPr>
          <w:rFonts w:ascii="Times New Roman" w:hAnsi="Times New Roman" w:cs="Times New Roman"/>
          <w:i/>
          <w:sz w:val="24"/>
          <w:szCs w:val="24"/>
        </w:rPr>
        <w:t xml:space="preserve">600,00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прочие мероприятия, не имеющие перечня </w:t>
      </w:r>
      <w:r>
        <w:rPr>
          <w:rFonts w:ascii="Times New Roman" w:hAnsi="Times New Roman" w:cs="Times New Roman"/>
          <w:i/>
          <w:sz w:val="24"/>
          <w:szCs w:val="24"/>
        </w:rPr>
        <w:t>– 1 740,0 тыс. рублей.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Расходы исключены из программы, в связи с организацией сбора и вывоза</w:t>
      </w:r>
      <w:proofErr w:type="gramEnd"/>
      <w:r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мусора Единым оператором с 01.01.2019 необходимости в приобретение мусоровоза и целесообразности в расходовании средств бюджета муниципального района нет. Кроме того в Программе на 2020-2025гг. необоснованно были запланированы расходы на оформление лицензии на сбор и вывоз ТБО в размере </w:t>
      </w:r>
      <w:r>
        <w:rPr>
          <w:rFonts w:ascii="Times New Roman" w:hAnsi="Times New Roman" w:cs="Times New Roman"/>
          <w:i/>
          <w:color w:val="483B3F"/>
          <w:sz w:val="24"/>
          <w:szCs w:val="24"/>
          <w:shd w:val="clear" w:color="auto" w:fill="FFFFFF"/>
        </w:rPr>
        <w:t>600,00 тыс. рублей</w:t>
      </w:r>
      <w:r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(Полигон не функционирует и необходимость в оформлении лицензии отсутствовала).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Данным проектом постановления вносятся изменения в объемы финансирования без изменения индикаторов. Объем финансовых ресурсов на реализацию муниципальной программы не обоснован. </w:t>
      </w:r>
    </w:p>
    <w:p w:rsidR="007D35D5" w:rsidRDefault="007D35D5" w:rsidP="007D35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статьи 179 Бюджетного Кодекса Российской Федерации, пункта 10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изменения в объемы финансирования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произведены с нарушением сроков. Данным постановлением вносятся изменения в объемы финансирования 2019-2020гг. (то есть под фактически произведенные кассовые расходы).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вышеуказанного нормативного акта муниципальная программа подлежала приведению в соответствие с решениями ЛРС о бюджете муниципального района </w:t>
      </w:r>
      <w:r>
        <w:rPr>
          <w:rFonts w:ascii="Times New Roman" w:hAnsi="Times New Roman" w:cs="Times New Roman"/>
          <w:b/>
          <w:i/>
          <w:sz w:val="24"/>
          <w:szCs w:val="24"/>
        </w:rPr>
        <w:t>не позднее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их в силу.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перечень программных мероприятий на плановый период 2024-2025гг. включено мероприятие «Борьба с борщевиком Сосновского (гербицидами избирательного действия)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с объемом финансирования в сумме </w:t>
      </w:r>
      <w:r>
        <w:rPr>
          <w:rFonts w:ascii="Times New Roman" w:hAnsi="Times New Roman" w:cs="Times New Roman"/>
          <w:i/>
          <w:sz w:val="24"/>
          <w:szCs w:val="24"/>
        </w:rPr>
        <w:t>600,0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данном Проекте Постановления реализация мероприятия «Борьба с борщевиком Сосновского (гербицидами избирательного действия)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на более поздние сроки при его необходимости в данный период.   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Администрацией муниципального района в сентябре месяце 2020 года в контрольно-счетную палату направлялся проект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12.02.2019 года № 173 «Об утверждении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районе», на которое дано заключение от 18.09.2020. Данный проект постановления администрацией муниципального района не был утвержден. В представленном проекте постановления о внесении изменений на реализацию мероприятия «Борьба с борщевиком Сосновского (гербицидами избирательного действия)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планировалось в 2021-2022гг. направить средств из бюджета муниципального района в объеме </w:t>
      </w:r>
      <w:r>
        <w:rPr>
          <w:rFonts w:ascii="Times New Roman" w:hAnsi="Times New Roman" w:cs="Times New Roman"/>
          <w:i/>
          <w:sz w:val="24"/>
          <w:szCs w:val="24"/>
        </w:rPr>
        <w:t>1 350,0 тыс. рублей.</w:t>
      </w:r>
    </w:p>
    <w:p w:rsidR="007D35D5" w:rsidRDefault="007D35D5" w:rsidP="007D35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контрольно-счётная палата предлагает администрации муниципального района:</w:t>
      </w:r>
    </w:p>
    <w:p w:rsidR="007D35D5" w:rsidRDefault="007D35D5" w:rsidP="007D35D5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внести изменения в раздел 2 Программы «Цели, задачи и индикаторы достижения целей и решения задач муниципальной программы» с учетом изменений объемов финансирования;</w:t>
      </w:r>
    </w:p>
    <w:p w:rsidR="007D35D5" w:rsidRDefault="007D35D5" w:rsidP="007D35D5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обосновать объем финансовых ресурсов необходимый для реализации данной программы;</w:t>
      </w:r>
    </w:p>
    <w:p w:rsidR="007D35D5" w:rsidRDefault="007D35D5" w:rsidP="007D35D5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пересмотреть сроки реализации мероприятия «Борьба с борщевиком Сосновского (гербицидами избирательного действия)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  </w:t>
      </w:r>
    </w:p>
    <w:p w:rsidR="007D35D5" w:rsidRDefault="007D35D5" w:rsidP="007D35D5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постановления администрации муниципального района «О внесении изменений в постановление  администрации муниципального района от 12.02.2019 года № 173 «Об утверждении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может быть принят к рассмотрению после устранения всех замечаний.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35D5" w:rsidRDefault="007D35D5" w:rsidP="007D35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 постановления направить Главе администрации муниципального района Д.С. Удалову.</w:t>
      </w:r>
    </w:p>
    <w:p w:rsidR="007D35D5" w:rsidRDefault="007D35D5" w:rsidP="007D35D5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D35D5" w:rsidRDefault="007D35D5" w:rsidP="007D35D5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35D5" w:rsidRDefault="007D35D5" w:rsidP="007D35D5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35D5" w:rsidRDefault="007D35D5" w:rsidP="007D35D5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35D5" w:rsidRDefault="007D35D5" w:rsidP="007D35D5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35D5" w:rsidRDefault="007D35D5" w:rsidP="007D35D5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D35D5" w:rsidRDefault="007D35D5" w:rsidP="007D35D5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В. А. Афонина</w:t>
      </w:r>
    </w:p>
    <w:p w:rsidR="007D35D5" w:rsidRDefault="007D35D5" w:rsidP="007D35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35D5" w:rsidRDefault="007D35D5" w:rsidP="007D35D5"/>
    <w:p w:rsidR="007D35D5" w:rsidRDefault="007D35D5" w:rsidP="007D35D5"/>
    <w:p w:rsidR="007D35D5" w:rsidRDefault="007D35D5" w:rsidP="007D35D5"/>
    <w:p w:rsidR="007D35D5" w:rsidRDefault="007D35D5" w:rsidP="007D35D5"/>
    <w:p w:rsidR="005C0516" w:rsidRDefault="005C0516"/>
    <w:sectPr w:rsidR="005C0516" w:rsidSect="009F33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43" w:rsidRDefault="009F3343" w:rsidP="009F3343">
      <w:pPr>
        <w:spacing w:after="0" w:line="240" w:lineRule="auto"/>
      </w:pPr>
      <w:r>
        <w:separator/>
      </w:r>
    </w:p>
  </w:endnote>
  <w:endnote w:type="continuationSeparator" w:id="0">
    <w:p w:rsidR="009F3343" w:rsidRDefault="009F3343" w:rsidP="009F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43" w:rsidRDefault="009F3343" w:rsidP="009F3343">
      <w:pPr>
        <w:spacing w:after="0" w:line="240" w:lineRule="auto"/>
      </w:pPr>
      <w:r>
        <w:separator/>
      </w:r>
    </w:p>
  </w:footnote>
  <w:footnote w:type="continuationSeparator" w:id="0">
    <w:p w:rsidR="009F3343" w:rsidRDefault="009F3343" w:rsidP="009F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67436"/>
      <w:docPartObj>
        <w:docPartGallery w:val="Page Numbers (Top of Page)"/>
        <w:docPartUnique/>
      </w:docPartObj>
    </w:sdtPr>
    <w:sdtContent>
      <w:p w:rsidR="009F3343" w:rsidRDefault="009F33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3343" w:rsidRDefault="009F33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2"/>
    <w:rsid w:val="00332F4A"/>
    <w:rsid w:val="005C0516"/>
    <w:rsid w:val="007D35D5"/>
    <w:rsid w:val="009F3343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F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34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3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F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34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3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</cp:revision>
  <dcterms:created xsi:type="dcterms:W3CDTF">2021-03-02T12:37:00Z</dcterms:created>
  <dcterms:modified xsi:type="dcterms:W3CDTF">2021-03-03T06:57:00Z</dcterms:modified>
</cp:coreProperties>
</file>